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E81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威海市职业中等专业学校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年度工作总结</w:t>
      </w:r>
    </w:p>
    <w:p w14:paraId="731B4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年1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</w:rPr>
        <w:t>月）</w:t>
      </w:r>
    </w:p>
    <w:p w14:paraId="4C3D6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32B3E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威海市职业中等专业</w:t>
      </w:r>
      <w:r>
        <w:rPr>
          <w:rFonts w:hint="eastAsia" w:ascii="仿宋_GB2312" w:eastAsia="仿宋_GB2312"/>
          <w:sz w:val="32"/>
          <w:szCs w:val="32"/>
        </w:rPr>
        <w:t>学校以习近平新时代中国特色社会主义思想为指导，全面学习贯彻党的二十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届三中全会</w:t>
      </w:r>
      <w:r>
        <w:rPr>
          <w:rFonts w:hint="eastAsia" w:ascii="仿宋_GB2312" w:eastAsia="仿宋_GB2312"/>
          <w:sz w:val="32"/>
          <w:szCs w:val="32"/>
        </w:rPr>
        <w:t>精神，守正创新、攻坚克难，坚持和加强党对教育工作的领导，落实立德树人根本任务，不断推进高质量内涵式发展。</w:t>
      </w:r>
    </w:p>
    <w:p w14:paraId="57106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一、以弘扬伟大建党精神为引领，提升党支部战斗力，党对学校工作的全面领导更牢</w:t>
      </w:r>
    </w:p>
    <w:p w14:paraId="07865BF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59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（一）践行初心使命，提振奋斗精神。</w:t>
      </w:r>
    </w:p>
    <w:p w14:paraId="5C38EA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59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坚持立德树人根本任务，不断释放高质量党建工作体系效能，学校党委获评威海市“红色引擎”基层党组织称号，两个党支部获评市教育工委“五星级”支部。“党团先锋，服务师生”志愿岗位践行为民宗旨，助力精致建设，引领200余名党团员投身校内活动300余次，深入10余个乡镇、社区开展志愿服务活动30余次，实践活动有声有色，精诚服务持续彰显。</w:t>
      </w:r>
    </w:p>
    <w:p w14:paraId="7997B8E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59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（二）强化作风建设，全面从严治党。</w:t>
      </w:r>
    </w:p>
    <w:p w14:paraId="29C22D5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59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常态化开展廉政谈话和党纪学习教育，组织读书班、书记讲党课、观看警示教育片、参观红廉基地等活动30余次，引导广大党员干部学纪明纪守纪，开展不正之风及腐败问题专项整治行动，编发《清廉学校建设实施方案》，拟定15条工作任务，争创市级清廉学校。</w:t>
      </w:r>
    </w:p>
    <w:p w14:paraId="259EDE8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（三）严抓意识形态，筑牢安全防线。</w:t>
      </w:r>
    </w:p>
    <w:p w14:paraId="33F1DE5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加强网络意识形态监管，召开意识形态分析研判会、专题会会议4次，有效抵御宗教向校园渗透，全面摸排建立台账，做好预警防范，组织签订各类承诺书900余份，张贴正向宣传标语397个，更换名人名言、榜样人物事迹117个，强化自律慎独，浓厚育人氛围。</w:t>
      </w:r>
    </w:p>
    <w:p w14:paraId="6E9B6E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59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（四）强化榜样示范，涵养师德师风。</w:t>
      </w:r>
    </w:p>
    <w:p w14:paraId="1F8267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59"/>
        <w:textAlignment w:val="auto"/>
        <w:rPr>
          <w:rFonts w:hint="default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制定《师德考核工作方案》，通过课堂育德、典型树德、文化养德和规则立德，引导广大教师以德立身、以德立学、以德施教、以德育德。实施“铸师魂·育新人”</w:t>
      </w:r>
      <w:bookmarkStart w:id="0" w:name="OLE_LINK1"/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“兼德才</w:t>
      </w:r>
      <w:bookmarkEnd w:id="0"/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·扬师道”“致敬·榜样”“心声·传承”“师者说”等形式宣传榜样典型事迹，营造学</w:t>
      </w:r>
      <w:r>
        <w:rPr>
          <w:rFonts w:hint="default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有典型、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做有</w:t>
      </w:r>
      <w:r>
        <w:rPr>
          <w:rFonts w:hint="default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榜样、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见贤思齐、</w:t>
      </w:r>
      <w:r>
        <w:rPr>
          <w:rFonts w:hint="default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可学可做的良好局面。</w:t>
      </w:r>
    </w:p>
    <w:p w14:paraId="1326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二、以落实立德树人为导向，提升教育教学质量，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师生</w:t>
      </w:r>
      <w:r>
        <w:rPr>
          <w:rFonts w:hint="eastAsia" w:ascii="黑体" w:hAnsi="黑体" w:eastAsia="黑体"/>
          <w:sz w:val="32"/>
          <w:szCs w:val="32"/>
        </w:rPr>
        <w:t>综合素质更优</w:t>
      </w:r>
    </w:p>
    <w:p w14:paraId="5F0A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（一）优化专业布局，发挥课程育人功能。</w:t>
      </w:r>
    </w:p>
    <w:p w14:paraId="09E0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优化调整专业建设层级结构，10个专业成功申办初中后五年制高等职业教育专业点；对标高水平特色专业建设任务,全力建设智能制造专业群和汽车运用与维修专业，发挥特色专业的示范引领作用。制定并下发了《威海市职业中等专业学校劳动教育课程实施方案》，制定劳动教育课程的考核方案，激励学生积极参与劳动实践，提高创新与实践能力，在实践中学习专业技能，培养他们的职业素养和劳动精神。</w:t>
      </w:r>
    </w:p>
    <w:p w14:paraId="233EA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（二）深耕队伍建设，提升教师人才效能。</w:t>
      </w:r>
    </w:p>
    <w:p w14:paraId="1330C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按程序面向社会公开招聘40名专任教师，严把教师入口关。深入推进“杏坛先锋”训练营建设活动，提升后备干部能力素质，激发干部队伍干事创业活力。落实《教师分类分层培养办法（试行）》，实施分类分层次递进式培养提高教师素养，年内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人获评省级技能名师，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人获评山东省技术能手，获得市级荣誉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人次。8门课程立项市级精品课程，1门立项省级精品课程；在创新创业、课程思政等各类教学比赛中共获得省、市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级奖项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45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个。</w:t>
      </w:r>
    </w:p>
    <w:p w14:paraId="28FEA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（三）聚焦人才培养，筑牢学校发展根基。</w:t>
      </w:r>
    </w:p>
    <w:p w14:paraId="2976B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招收新生1939人，新生录取分数较去年提高50分；春季高考成绩连续三年位列全省中职学校前茅，职教实验部春考本科上线率77.6%；组织派遣2022级共1478名学生进行岗位实习，对口率达到100%，46名学生获得“优秀实习生”称号，为区域经济发展提供了大力支持。成功承办2024年世界职业院校技能大赛总决赛争夺赛智慧物流作业赛项，蝉联三届金奖第1名。在一带一路暨金砖大赛、海峡两岸职业院校技能大赛等各级各类职业教育技能大赛中，学生获得市级以上奖项12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个，其中国家级奖项6个、省级奖项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59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个。</w:t>
      </w:r>
    </w:p>
    <w:p w14:paraId="76A0D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（四）坚持五育并举，培养全面发展新人才。</w:t>
      </w:r>
    </w:p>
    <w:p w14:paraId="446D9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秉持德智体美劳五育协同的人才培养理念，开设体育艺术课程，按程序组织学生参与视力测试3604人次，艺术素质测评5953人次，体质测试3662人次，并积极参加市级体测抽测，成绩优秀。组织学生参加普法比赛获市级一等奖1个、二等奖1个，获得三下乡暑期社会实践优秀学生奖1个。</w:t>
      </w:r>
    </w:p>
    <w:p w14:paraId="73CD9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开展多样化文体活动，加快构建全环境立德树人生态圈。组织参加威海市中小学体育联赛、“卓越杯”篮球赛、文艺汇演、平面创意设计比赛、家电维修、垃圾分类等特色志愿服务活动活动30余次，师生2000人次参加，被评为市级劳动教育研学基地。</w:t>
      </w:r>
    </w:p>
    <w:p w14:paraId="400E5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坚持做好心理健康普查，实现在校生心理普测建档100%，心理问题学生约谈100%；邀请校外专家到校开展师生心理健康讲座4次，心理社团开展活动16次，引导学生优化心理品格，健康成长快乐成才。</w:t>
      </w:r>
    </w:p>
    <w:p w14:paraId="17975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三、以推进重点任务为抓手，深化改革创新成效，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提质增效创办学佳绩</w:t>
      </w:r>
    </w:p>
    <w:p w14:paraId="3D222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（一）稳步推进高水平学校项目建设工作。</w:t>
      </w:r>
    </w:p>
    <w:p w14:paraId="097AF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全面梳理汇总三年项目建设成果，国家级、省级标志性成果完成率为174%、133%，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在省级中期评估工作中被评为优秀等次（首批100所立项学校，优秀等次27所），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总结提炼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信息赋能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四链·五制”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项目建设保障机制在市域范围内获得推广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AA1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（二）赋能校企合作，提高学校核心竞争力。</w:t>
      </w:r>
    </w:p>
    <w:p w14:paraId="4E99C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探索实施“引企入校共建生产性实训基地、引产入教双师教学、依产定学校企共订教学方案、学产一体校企协同育人”的教学改革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机制，校内建有12个合同期内产教融合项目；牵头成立威海市智能制造、汽车检测与维修2个行业产教融合共同体，为高水平学校建设弥补了空白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 w14:paraId="0EA55B8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（三）发挥社培优势，释放服务区域效能。</w:t>
      </w:r>
    </w:p>
    <w:p w14:paraId="2621576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充分发挥教学品牌和资源优势，打造面向社会的公共培训基础平台，举办电工、焊工等10个职业技能培训班73个，进行10个职业技能等级项目（工种）认定，开展退役军人培训、农村及社区公益培训等项目14期，受益群众达4500余人次。</w:t>
      </w:r>
    </w:p>
    <w:p w14:paraId="41DA89E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（四）加强国际交流，持续拓展国际朋友圈。</w:t>
      </w:r>
    </w:p>
    <w:p w14:paraId="01F2BB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楷体" w:eastAsia="仿宋_GB2312" w:cs="楷体_GB2312"/>
          <w:sz w:val="32"/>
          <w:szCs w:val="32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顺利举办首届中韩（山东）技能人才交流合作大会技能交流展示活动，多途径培养具有国际视野技能人才。加拿大奥克那根学院、韩国富川大学等学校到我校考察交流，双方围绕两校师生交流、学术交流、高技能人才共同培养等方面商讨合作方式与途径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楷体" w:eastAsia="仿宋_GB2312" w:cs="楷体_GB2312"/>
          <w:sz w:val="32"/>
          <w:szCs w:val="32"/>
        </w:rPr>
        <w:t>积极服务“一带一路”倡议，为威海新北洋数码科技有限公司的职工进行业务和安全培训，定期安排师生到公司实习，参与产品研发、生产、组装等生产经营活动，产品远销亚欧地区。</w:t>
      </w:r>
    </w:p>
    <w:p w14:paraId="7AA0E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、以保稳定促和谐为底线，强化校园安全建设，服务保障水平更高</w:t>
      </w:r>
    </w:p>
    <w:p w14:paraId="1155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（一）综合安全管理制度化。</w:t>
      </w:r>
    </w:p>
    <w:p w14:paraId="79CC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落实“一岗双责”打造特色平安校园，联合驻地泊于派出所、交警部门实施警校联勤、应急联动、社会联防、平安联创模式，强化“护学岗”确保校内师生人身安全。</w:t>
      </w:r>
    </w:p>
    <w:p w14:paraId="40ABC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（二）校园隐患排除常态化。</w:t>
      </w:r>
    </w:p>
    <w:p w14:paraId="32A10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定期对校园内外环境、实训场所进行风险评估隐患排查，提升校园安全防范能力；落实领导陪餐制度，加强校园食品安全监管；开展消防安全培训和消防安全演练，落实“消防安全检查日”机制，提高师生消防安全意识。持续优化校内乘车位置，将原校外乘车调整至校内区域，有效保障了学生的乘车安全。</w:t>
      </w:r>
    </w:p>
    <w:p w14:paraId="2C3F8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（三）安全教育长效化。</w:t>
      </w:r>
    </w:p>
    <w:p w14:paraId="2E27F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落实“51530”安全教育制度，多形式普及宣传安全知识；开展防溺水技能培训、发布防范电信诈骗明白纸、防欺凌法治安全讲座等，提高学生防范自救能力和法治意识。</w:t>
      </w:r>
    </w:p>
    <w:p w14:paraId="3171E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095AB1-F059-40EB-BA21-AAAA5EE5C9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7567DD-E1D3-4644-9F88-5D4BA06EC8E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7A3ADA7-47CC-497A-9C3B-C45023C584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9933E2-B994-4CFF-9278-5C6663B9829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D32D052-5119-4418-93B5-E3E1456262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73068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6207AE59"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1C20245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04"/>
    <w:rsid w:val="00023DA5"/>
    <w:rsid w:val="00034AF3"/>
    <w:rsid w:val="0009001D"/>
    <w:rsid w:val="0009220A"/>
    <w:rsid w:val="000B7AB8"/>
    <w:rsid w:val="0014627D"/>
    <w:rsid w:val="00167F8A"/>
    <w:rsid w:val="00171A18"/>
    <w:rsid w:val="00175AB3"/>
    <w:rsid w:val="001A28F3"/>
    <w:rsid w:val="001B232F"/>
    <w:rsid w:val="001C200A"/>
    <w:rsid w:val="001F27C3"/>
    <w:rsid w:val="002014AF"/>
    <w:rsid w:val="0022365B"/>
    <w:rsid w:val="00230BB4"/>
    <w:rsid w:val="002328DB"/>
    <w:rsid w:val="00263639"/>
    <w:rsid w:val="0027351A"/>
    <w:rsid w:val="00281C86"/>
    <w:rsid w:val="00295DFF"/>
    <w:rsid w:val="002A66BF"/>
    <w:rsid w:val="002B2113"/>
    <w:rsid w:val="002B2A16"/>
    <w:rsid w:val="002B37A0"/>
    <w:rsid w:val="00322F25"/>
    <w:rsid w:val="00345D4E"/>
    <w:rsid w:val="003936EB"/>
    <w:rsid w:val="003A0FDC"/>
    <w:rsid w:val="003F04BC"/>
    <w:rsid w:val="00435FCD"/>
    <w:rsid w:val="00455473"/>
    <w:rsid w:val="004854F8"/>
    <w:rsid w:val="00492D93"/>
    <w:rsid w:val="004E08B2"/>
    <w:rsid w:val="0050632F"/>
    <w:rsid w:val="00515625"/>
    <w:rsid w:val="00517609"/>
    <w:rsid w:val="005A2B57"/>
    <w:rsid w:val="005E047E"/>
    <w:rsid w:val="005E2439"/>
    <w:rsid w:val="005E6E14"/>
    <w:rsid w:val="005F1E1B"/>
    <w:rsid w:val="00604413"/>
    <w:rsid w:val="00631E04"/>
    <w:rsid w:val="006323F1"/>
    <w:rsid w:val="00652BA2"/>
    <w:rsid w:val="006D3B77"/>
    <w:rsid w:val="00701B2E"/>
    <w:rsid w:val="007177AC"/>
    <w:rsid w:val="00731228"/>
    <w:rsid w:val="0075448B"/>
    <w:rsid w:val="00756AC5"/>
    <w:rsid w:val="00786DFE"/>
    <w:rsid w:val="00795EDA"/>
    <w:rsid w:val="007A2081"/>
    <w:rsid w:val="007B5843"/>
    <w:rsid w:val="007C0AA0"/>
    <w:rsid w:val="007D6F65"/>
    <w:rsid w:val="007E7D62"/>
    <w:rsid w:val="007F32E5"/>
    <w:rsid w:val="00805D34"/>
    <w:rsid w:val="00845CD7"/>
    <w:rsid w:val="00861178"/>
    <w:rsid w:val="00866239"/>
    <w:rsid w:val="0087375B"/>
    <w:rsid w:val="0088531B"/>
    <w:rsid w:val="008D763E"/>
    <w:rsid w:val="008E69CB"/>
    <w:rsid w:val="00941AF9"/>
    <w:rsid w:val="00944191"/>
    <w:rsid w:val="00984A99"/>
    <w:rsid w:val="009F5CBF"/>
    <w:rsid w:val="00A1151C"/>
    <w:rsid w:val="00A32067"/>
    <w:rsid w:val="00A51085"/>
    <w:rsid w:val="00A616B7"/>
    <w:rsid w:val="00A8041E"/>
    <w:rsid w:val="00A814D7"/>
    <w:rsid w:val="00AD6D1F"/>
    <w:rsid w:val="00AE0EB0"/>
    <w:rsid w:val="00B21704"/>
    <w:rsid w:val="00B43252"/>
    <w:rsid w:val="00B8355F"/>
    <w:rsid w:val="00BA1B55"/>
    <w:rsid w:val="00BA253D"/>
    <w:rsid w:val="00BA54A9"/>
    <w:rsid w:val="00BB24DE"/>
    <w:rsid w:val="00BF5E2A"/>
    <w:rsid w:val="00C01CDA"/>
    <w:rsid w:val="00C26134"/>
    <w:rsid w:val="00C26A7C"/>
    <w:rsid w:val="00C56A32"/>
    <w:rsid w:val="00C656CA"/>
    <w:rsid w:val="00CE0865"/>
    <w:rsid w:val="00D10842"/>
    <w:rsid w:val="00D22DF0"/>
    <w:rsid w:val="00D81C9C"/>
    <w:rsid w:val="00D858B9"/>
    <w:rsid w:val="00D92D40"/>
    <w:rsid w:val="00D9495D"/>
    <w:rsid w:val="00DC4463"/>
    <w:rsid w:val="00DD267F"/>
    <w:rsid w:val="00DD324A"/>
    <w:rsid w:val="00DD35E1"/>
    <w:rsid w:val="00E04D8E"/>
    <w:rsid w:val="00E2600B"/>
    <w:rsid w:val="00E47D3E"/>
    <w:rsid w:val="00E62919"/>
    <w:rsid w:val="00E70691"/>
    <w:rsid w:val="00EB1553"/>
    <w:rsid w:val="00EC7FFE"/>
    <w:rsid w:val="00ED7E0C"/>
    <w:rsid w:val="00F02585"/>
    <w:rsid w:val="00F05D6A"/>
    <w:rsid w:val="00F367B6"/>
    <w:rsid w:val="0BE36492"/>
    <w:rsid w:val="10614E47"/>
    <w:rsid w:val="129675AB"/>
    <w:rsid w:val="22A224BA"/>
    <w:rsid w:val="275A072A"/>
    <w:rsid w:val="2B122925"/>
    <w:rsid w:val="36F73FDB"/>
    <w:rsid w:val="5CCE6275"/>
    <w:rsid w:val="6BFB16E4"/>
    <w:rsid w:val="7F534017"/>
    <w:rsid w:val="7F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2823</Words>
  <Characters>2919</Characters>
  <Lines>25</Lines>
  <Paragraphs>7</Paragraphs>
  <TotalTime>1</TotalTime>
  <ScaleCrop>false</ScaleCrop>
  <LinksUpToDate>false</LinksUpToDate>
  <CharactersWithSpaces>2920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2022-11-09T01:16:00Z</dcterms:created>
  <dc:creator>无名</dc:creator>
  <cp:lastModifiedBy>肖丙凯</cp:lastModifiedBy>
  <cp:lastPrinted>2022-11-11T00:22:00Z</cp:lastPrinted>
  <dcterms:modified xsi:type="dcterms:W3CDTF">2025-01-10T10:38:02Z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eyJoZGlkIjoiOGZjNDY1OTk0NjBkMDRjMWI0MDYyNjdkYTkyNGM5NDYiLCJ1c2VySWQiOiIxNDI2MTU2NzMwIn0=</vt:lpwstr>
  </property>
  <property fmtid="{D5CDD505-2E9C-101B-9397-08002B2CF9AE}" pid="3" name="KSOProductBuildVer">
    <vt:lpwstr>2052-12.1.0.19770</vt:lpwstr>
  </property>
  <property fmtid="{D5CDD505-2E9C-101B-9397-08002B2CF9AE}" pid="4" name="ICV">
    <vt:lpwstr>F27FE9EC8DB448EFB67581EA2C46A114_12</vt:lpwstr>
  </property>
</Properties>
</file>